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64D58636" w:rsidR="00F644D5" w:rsidRPr="00BC7EBE" w:rsidRDefault="000C2E63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Learning and Development</w:t>
      </w:r>
      <w:r w:rsidR="005974B5">
        <w:rPr>
          <w:rFonts w:ascii="Century Gothic" w:hAnsi="Century Gothic"/>
          <w:b/>
          <w:sz w:val="36"/>
          <w:szCs w:val="36"/>
          <w:lang w:val="en-AU"/>
        </w:rPr>
        <w:t xml:space="preserve">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7BD1528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586C47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2C1D9283" w:rsidR="00DA3BB0" w:rsidRDefault="00F819A1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701011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5A464C27" w:rsidR="00DA3BB0" w:rsidRDefault="00EB2E76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Staff, Committee, Volunteers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31115C5B" w:rsidR="00DA3BB0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The purpose of this policy is to</w:t>
      </w:r>
      <w:r w:rsidR="00D52F2C" w:rsidRPr="00D52F2C">
        <w:rPr>
          <w:rFonts w:ascii="Century Gothic" w:hAnsi="Century Gothic" w:cs="Arial"/>
          <w:bCs/>
          <w:sz w:val="22"/>
          <w:szCs w:val="22"/>
          <w:lang w:val="en-US"/>
        </w:rPr>
        <w:t xml:space="preserve"> outline </w:t>
      </w:r>
      <w:r w:rsidR="00EB2E76">
        <w:rPr>
          <w:rFonts w:ascii="Century Gothic" w:hAnsi="Century Gothic" w:cs="Arial"/>
          <w:bCs/>
          <w:sz w:val="22"/>
          <w:szCs w:val="22"/>
          <w:lang w:val="en-US"/>
        </w:rPr>
        <w:t>our</w:t>
      </w:r>
      <w:r w:rsidR="00775A68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  <w:r w:rsidR="00D52F2C" w:rsidRPr="00D52F2C">
        <w:rPr>
          <w:rFonts w:ascii="Century Gothic" w:hAnsi="Century Gothic" w:cs="Arial"/>
          <w:bCs/>
          <w:sz w:val="22"/>
          <w:szCs w:val="22"/>
          <w:lang w:val="en-US"/>
        </w:rPr>
        <w:t>commitment to</w:t>
      </w:r>
      <w:r w:rsidR="00EB2E76">
        <w:rPr>
          <w:rFonts w:ascii="Century Gothic" w:hAnsi="Century Gothic" w:cs="Arial"/>
          <w:bCs/>
          <w:sz w:val="22"/>
          <w:szCs w:val="22"/>
          <w:lang w:val="en-US"/>
        </w:rPr>
        <w:t xml:space="preserve"> ensuring everyone in our </w:t>
      </w:r>
      <w:proofErr w:type="spellStart"/>
      <w:r w:rsidR="00EB2E76">
        <w:rPr>
          <w:rFonts w:ascii="Century Gothic" w:hAnsi="Century Gothic" w:cs="Arial"/>
          <w:bCs/>
          <w:sz w:val="22"/>
          <w:szCs w:val="22"/>
          <w:lang w:val="en-US"/>
        </w:rPr>
        <w:t>organisation</w:t>
      </w:r>
      <w:proofErr w:type="spellEnd"/>
      <w:r w:rsidR="00EB2E76">
        <w:rPr>
          <w:rFonts w:ascii="Century Gothic" w:hAnsi="Century Gothic" w:cs="Arial"/>
          <w:bCs/>
          <w:sz w:val="22"/>
          <w:szCs w:val="22"/>
          <w:lang w:val="en-US"/>
        </w:rPr>
        <w:t xml:space="preserve"> is appropriately trained and is aware of best practice in our sector. </w:t>
      </w:r>
    </w:p>
    <w:p w14:paraId="127A4513" w14:textId="77777777" w:rsidR="00775A68" w:rsidRPr="00BC7EBE" w:rsidRDefault="00775A68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4183F282" w14:textId="4A2236F2" w:rsidR="004F0FC5" w:rsidRDefault="004F0FC5" w:rsidP="007921DD">
      <w:pPr>
        <w:pStyle w:val="ListParagraph"/>
        <w:numPr>
          <w:ilvl w:val="0"/>
          <w:numId w:val="38"/>
        </w:numPr>
        <w:rPr>
          <w:rFonts w:ascii="Century Gothic" w:hAnsi="Century Gothic"/>
          <w:bCs/>
          <w:sz w:val="22"/>
          <w:szCs w:val="22"/>
        </w:rPr>
      </w:pPr>
      <w:r w:rsidRPr="007921DD">
        <w:rPr>
          <w:rFonts w:ascii="Century Gothic" w:hAnsi="Century Gothic"/>
          <w:bCs/>
          <w:sz w:val="22"/>
          <w:szCs w:val="22"/>
        </w:rPr>
        <w:t>Induction</w:t>
      </w:r>
    </w:p>
    <w:p w14:paraId="7C4C8DFC" w14:textId="77777777" w:rsidR="007921DD" w:rsidRPr="007921DD" w:rsidRDefault="007921DD" w:rsidP="007921DD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09C32A5B" w14:textId="2282235A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Staff members </w:t>
      </w:r>
      <w:r w:rsidR="00D116AF">
        <w:rPr>
          <w:rFonts w:ascii="Century Gothic" w:hAnsi="Century Gothic" w:cs="Arial"/>
          <w:sz w:val="22"/>
          <w:szCs w:val="22"/>
          <w:lang w:val="en-US"/>
        </w:rPr>
        <w:t>are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provided with a </w:t>
      </w:r>
      <w:r w:rsidRPr="004F0FC5">
        <w:rPr>
          <w:rFonts w:ascii="Century Gothic" w:hAnsi="Century Gothic" w:cs="Arial"/>
          <w:b/>
          <w:bCs/>
          <w:sz w:val="22"/>
          <w:szCs w:val="22"/>
          <w:lang w:val="en-US"/>
        </w:rPr>
        <w:t>Staff Manual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004F0FC5">
        <w:rPr>
          <w:rFonts w:ascii="Century Gothic" w:hAnsi="Century Gothic" w:cs="Arial"/>
          <w:sz w:val="22"/>
          <w:szCs w:val="22"/>
          <w:lang w:val="en-US"/>
        </w:rPr>
        <w:t>induction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 on commencement to 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ensure that </w:t>
      </w:r>
      <w:r>
        <w:rPr>
          <w:rFonts w:ascii="Century Gothic" w:hAnsi="Century Gothic" w:cs="Arial"/>
          <w:sz w:val="22"/>
          <w:szCs w:val="22"/>
          <w:lang w:val="en-US"/>
        </w:rPr>
        <w:t>they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may be safely entrusted with the duties of their position</w:t>
      </w:r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590FF7F4" w14:textId="77777777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35EFE16" w14:textId="0DBE780D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Volunteers </w:t>
      </w:r>
      <w:r w:rsidR="00D116AF">
        <w:rPr>
          <w:rFonts w:ascii="Century Gothic" w:hAnsi="Century Gothic" w:cs="Arial"/>
          <w:sz w:val="22"/>
          <w:szCs w:val="22"/>
          <w:lang w:val="en-US"/>
        </w:rPr>
        <w:t>are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provided with a </w:t>
      </w:r>
      <w:r w:rsidRPr="004F0FC5">
        <w:rPr>
          <w:rFonts w:ascii="Century Gothic" w:hAnsi="Century Gothic" w:cs="Arial"/>
          <w:b/>
          <w:bCs/>
          <w:sz w:val="22"/>
          <w:szCs w:val="22"/>
          <w:lang w:val="en-US"/>
        </w:rPr>
        <w:t>Volunteer Manua</w:t>
      </w:r>
      <w:r>
        <w:rPr>
          <w:rFonts w:ascii="Century Gothic" w:hAnsi="Century Gothic" w:cs="Arial"/>
          <w:sz w:val="22"/>
          <w:szCs w:val="22"/>
          <w:lang w:val="en-US"/>
        </w:rPr>
        <w:t xml:space="preserve">l and </w:t>
      </w:r>
      <w:r w:rsidR="004F0FC5">
        <w:rPr>
          <w:rFonts w:ascii="Century Gothic" w:hAnsi="Century Gothic" w:cs="Arial"/>
          <w:sz w:val="22"/>
          <w:szCs w:val="22"/>
          <w:lang w:val="en-US"/>
        </w:rPr>
        <w:t>induction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 on commencement to 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ensure that </w:t>
      </w:r>
      <w:r>
        <w:rPr>
          <w:rFonts w:ascii="Century Gothic" w:hAnsi="Century Gothic" w:cs="Arial"/>
          <w:sz w:val="22"/>
          <w:szCs w:val="22"/>
          <w:lang w:val="en-US"/>
        </w:rPr>
        <w:t>they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may be safely entrusted with the duties of their position</w:t>
      </w:r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7224D7E8" w14:textId="77777777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44A2555" w14:textId="1776A08F" w:rsidR="00775A68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Committee members </w:t>
      </w:r>
      <w:r w:rsidR="00D116AF">
        <w:rPr>
          <w:rFonts w:ascii="Century Gothic" w:hAnsi="Century Gothic" w:cs="Arial"/>
          <w:sz w:val="22"/>
          <w:szCs w:val="22"/>
          <w:lang w:val="en-US"/>
        </w:rPr>
        <w:t xml:space="preserve">are </w:t>
      </w:r>
      <w:r>
        <w:rPr>
          <w:rFonts w:ascii="Century Gothic" w:hAnsi="Century Gothic" w:cs="Arial"/>
          <w:sz w:val="22"/>
          <w:szCs w:val="22"/>
          <w:lang w:val="en-US"/>
        </w:rPr>
        <w:t xml:space="preserve">provided with a </w:t>
      </w:r>
      <w:r w:rsidRPr="004F0FC5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Committee </w:t>
      </w:r>
      <w:r w:rsidR="004F0FC5">
        <w:rPr>
          <w:rFonts w:ascii="Century Gothic" w:hAnsi="Century Gothic" w:cs="Arial"/>
          <w:b/>
          <w:bCs/>
          <w:sz w:val="22"/>
          <w:szCs w:val="22"/>
          <w:lang w:val="en-US"/>
        </w:rPr>
        <w:t>of Governance Induction Kit</w:t>
      </w:r>
      <w:r>
        <w:rPr>
          <w:rFonts w:ascii="Century Gothic" w:hAnsi="Century Gothic" w:cs="Arial"/>
          <w:sz w:val="22"/>
          <w:szCs w:val="22"/>
          <w:lang w:val="en-US"/>
        </w:rPr>
        <w:t xml:space="preserve"> on commencement to 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ensure that </w:t>
      </w:r>
      <w:r>
        <w:rPr>
          <w:rFonts w:ascii="Century Gothic" w:hAnsi="Century Gothic" w:cs="Arial"/>
          <w:sz w:val="22"/>
          <w:szCs w:val="22"/>
          <w:lang w:val="en-US"/>
        </w:rPr>
        <w:t>they</w:t>
      </w:r>
      <w:r w:rsidRPr="00533F27">
        <w:rPr>
          <w:rFonts w:ascii="Century Gothic" w:hAnsi="Century Gothic" w:cs="Arial"/>
          <w:sz w:val="22"/>
          <w:szCs w:val="22"/>
          <w:lang w:val="en-US"/>
        </w:rPr>
        <w:t xml:space="preserve"> may be safely entrusted with the duties of their position</w:t>
      </w:r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1A573F0" w14:textId="77777777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FD1ADF" w14:textId="6A60980E" w:rsidR="004F0FC5" w:rsidRPr="00775A68" w:rsidRDefault="004F0FC5" w:rsidP="007921DD">
      <w:pPr>
        <w:pStyle w:val="PlainText"/>
        <w:numPr>
          <w:ilvl w:val="0"/>
          <w:numId w:val="38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Ongoing Professional Development)</w:t>
      </w:r>
    </w:p>
    <w:p w14:paraId="681D7ACC" w14:textId="77777777" w:rsidR="007921DD" w:rsidRDefault="007921DD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B870C97" w14:textId="6B6FB8F1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Ongoing professional development opportunities </w:t>
      </w:r>
      <w:r w:rsidR="00EB2E76">
        <w:rPr>
          <w:rFonts w:ascii="Century Gothic" w:hAnsi="Century Gothic" w:cs="Arial"/>
          <w:sz w:val="22"/>
          <w:szCs w:val="22"/>
          <w:lang w:val="en-US"/>
        </w:rPr>
        <w:t>are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provided </w:t>
      </w:r>
      <w:r w:rsidR="00EB2E76">
        <w:rPr>
          <w:rFonts w:ascii="Century Gothic" w:hAnsi="Century Gothic" w:cs="Arial"/>
          <w:sz w:val="22"/>
          <w:szCs w:val="22"/>
          <w:lang w:val="en-US"/>
        </w:rPr>
        <w:t xml:space="preserve">to staff, </w:t>
      </w:r>
      <w:r w:rsidR="00D116AF">
        <w:rPr>
          <w:rFonts w:ascii="Century Gothic" w:hAnsi="Century Gothic" w:cs="Arial"/>
          <w:sz w:val="22"/>
          <w:szCs w:val="22"/>
          <w:lang w:val="en-US"/>
        </w:rPr>
        <w:t>c</w:t>
      </w:r>
      <w:r w:rsidR="00EB2E76">
        <w:rPr>
          <w:rFonts w:ascii="Century Gothic" w:hAnsi="Century Gothic" w:cs="Arial"/>
          <w:sz w:val="22"/>
          <w:szCs w:val="22"/>
          <w:lang w:val="en-US"/>
        </w:rPr>
        <w:t>ommittee members and volunteers at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the discretion of the </w:t>
      </w:r>
      <w:r>
        <w:rPr>
          <w:rFonts w:ascii="Century Gothic" w:hAnsi="Century Gothic" w:cs="Arial"/>
          <w:sz w:val="22"/>
          <w:szCs w:val="22"/>
          <w:lang w:val="en-US"/>
        </w:rPr>
        <w:t>Executive Officer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, and subject to </w:t>
      </w:r>
      <w:r>
        <w:rPr>
          <w:rFonts w:ascii="Century Gothic" w:hAnsi="Century Gothic" w:cs="Arial"/>
          <w:sz w:val="22"/>
          <w:szCs w:val="22"/>
          <w:lang w:val="en-US"/>
        </w:rPr>
        <w:t xml:space="preserve">the annual 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budget approved by the </w:t>
      </w:r>
      <w:r w:rsidR="00EB2E76">
        <w:rPr>
          <w:rFonts w:ascii="Century Gothic" w:hAnsi="Century Gothic" w:cs="Arial"/>
          <w:sz w:val="22"/>
          <w:szCs w:val="22"/>
          <w:lang w:val="en-US"/>
        </w:rPr>
        <w:t>C</w:t>
      </w:r>
      <w:r>
        <w:rPr>
          <w:rFonts w:ascii="Century Gothic" w:hAnsi="Century Gothic" w:cs="Arial"/>
          <w:sz w:val="22"/>
          <w:szCs w:val="22"/>
          <w:lang w:val="en-US"/>
        </w:rPr>
        <w:t>ommittee.</w:t>
      </w:r>
    </w:p>
    <w:p w14:paraId="2B933A0D" w14:textId="77777777" w:rsidR="00775A68" w:rsidRP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2DCB38" w14:textId="77777777" w:rsidR="004F0FC5" w:rsidRDefault="004F0FC5" w:rsidP="004F0F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>
        <w:rPr>
          <w:rFonts w:ascii="Century Gothic" w:hAnsi="Century Gothic" w:cs="Arial"/>
          <w:sz w:val="22"/>
          <w:szCs w:val="22"/>
          <w:lang w:val="en-US"/>
        </w:rPr>
        <w:t xml:space="preserve">Executive Officer and the Committee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ensures</w:t>
      </w:r>
      <w:proofErr w:type="gramEnd"/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that staff and volunteers meet government requirements regarding required skill and accreditation levels. This may include a minimum amount of professional development to be undertaken on a regular basis.</w:t>
      </w:r>
    </w:p>
    <w:p w14:paraId="72EBF68A" w14:textId="77777777" w:rsidR="004F0FC5" w:rsidRDefault="004F0FC5" w:rsidP="004F0F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1F09E49" w14:textId="54724A6F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75A68"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Staff </w:t>
      </w:r>
      <w:r w:rsidR="00EB2E76">
        <w:rPr>
          <w:rFonts w:ascii="Century Gothic" w:hAnsi="Century Gothic" w:cs="Arial"/>
          <w:sz w:val="22"/>
          <w:szCs w:val="22"/>
          <w:lang w:val="en-US"/>
        </w:rPr>
        <w:t>are</w:t>
      </w:r>
      <w:r w:rsidR="004F0FC5">
        <w:rPr>
          <w:rFonts w:ascii="Century Gothic" w:hAnsi="Century Gothic" w:cs="Arial"/>
          <w:sz w:val="22"/>
          <w:szCs w:val="22"/>
          <w:lang w:val="en-US"/>
        </w:rPr>
        <w:t xml:space="preserve"> also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encouraged and supported to pursue and complete professional </w:t>
      </w:r>
      <w:proofErr w:type="gramStart"/>
      <w:r w:rsidRPr="00775A68">
        <w:rPr>
          <w:rFonts w:ascii="Century Gothic" w:hAnsi="Century Gothic" w:cs="Arial"/>
          <w:sz w:val="22"/>
          <w:szCs w:val="22"/>
          <w:lang w:val="en-US"/>
        </w:rPr>
        <w:t>development</w:t>
      </w:r>
      <w:proofErr w:type="gramEnd"/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which is relevant to their work</w:t>
      </w:r>
      <w:r>
        <w:rPr>
          <w:rFonts w:ascii="Century Gothic" w:hAnsi="Century Gothic" w:cs="Arial"/>
          <w:sz w:val="22"/>
          <w:szCs w:val="22"/>
          <w:lang w:val="en-US"/>
        </w:rPr>
        <w:t>,</w:t>
      </w: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 or to their further career goals if those align with </w:t>
      </w:r>
      <w:r>
        <w:rPr>
          <w:rFonts w:ascii="Century Gothic" w:hAnsi="Century Gothic" w:cs="Arial"/>
          <w:sz w:val="22"/>
          <w:szCs w:val="22"/>
          <w:lang w:val="en-US"/>
        </w:rPr>
        <w:t>our work.</w:t>
      </w:r>
    </w:p>
    <w:p w14:paraId="2D877972" w14:textId="77777777" w:rsidR="004F0FC5" w:rsidRDefault="004F0FC5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72AC7B7" w14:textId="06F1D1BE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For </w:t>
      </w:r>
      <w:r w:rsidR="00657D41">
        <w:rPr>
          <w:rFonts w:ascii="Century Gothic" w:hAnsi="Century Gothic" w:cs="Arial"/>
          <w:sz w:val="22"/>
          <w:szCs w:val="22"/>
          <w:lang w:val="en-US"/>
        </w:rPr>
        <w:t xml:space="preserve">all staff, and for </w:t>
      </w:r>
      <w:r w:rsidR="002D3F83">
        <w:rPr>
          <w:rFonts w:ascii="Century Gothic" w:hAnsi="Century Gothic" w:cs="Arial"/>
          <w:sz w:val="22"/>
          <w:szCs w:val="22"/>
          <w:lang w:val="en-US"/>
        </w:rPr>
        <w:t>formal volunteers (including Committee)</w:t>
      </w:r>
      <w:r>
        <w:rPr>
          <w:rFonts w:ascii="Century Gothic" w:hAnsi="Century Gothic" w:cs="Arial"/>
          <w:sz w:val="22"/>
          <w:szCs w:val="22"/>
          <w:lang w:val="en-US"/>
        </w:rPr>
        <w:t xml:space="preserve"> induction and training must comply with Child Safe Standard 8, including topics such as:</w:t>
      </w:r>
    </w:p>
    <w:p w14:paraId="2F3C85EF" w14:textId="77777777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FEADC1E" w14:textId="77777777" w:rsidR="00775A68" w:rsidRDefault="00775A68" w:rsidP="00775A6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I</w:t>
      </w:r>
      <w:r w:rsidRPr="00C0508E">
        <w:rPr>
          <w:rFonts w:ascii="Century Gothic" w:hAnsi="Century Gothic" w:cs="Arial"/>
          <w:sz w:val="22"/>
          <w:szCs w:val="22"/>
          <w:lang w:val="en-US"/>
        </w:rPr>
        <w:t xml:space="preserve">dentifying indicators of child abuse and harm, including where caused by other </w:t>
      </w:r>
      <w:proofErr w:type="gramStart"/>
      <w:r w:rsidRPr="00C0508E">
        <w:rPr>
          <w:rFonts w:ascii="Century Gothic" w:hAnsi="Century Gothic" w:cs="Arial"/>
          <w:sz w:val="22"/>
          <w:szCs w:val="22"/>
          <w:lang w:val="en-US"/>
        </w:rPr>
        <w:t>children</w:t>
      </w:r>
      <w:proofErr w:type="gramEnd"/>
    </w:p>
    <w:p w14:paraId="300B50E1" w14:textId="77777777" w:rsidR="00775A68" w:rsidRDefault="00775A68" w:rsidP="00775A6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H</w:t>
      </w:r>
      <w:r w:rsidRPr="00C0508E">
        <w:rPr>
          <w:rFonts w:ascii="Century Gothic" w:hAnsi="Century Gothic" w:cs="Arial"/>
          <w:sz w:val="22"/>
          <w:szCs w:val="22"/>
          <w:lang w:val="en-US"/>
        </w:rPr>
        <w:t xml:space="preserve">ow to respond to issues of child safety including internal and external reporting requirements, notifying families and </w:t>
      </w:r>
      <w:proofErr w:type="gramStart"/>
      <w:r w:rsidRPr="00C0508E">
        <w:rPr>
          <w:rFonts w:ascii="Century Gothic" w:hAnsi="Century Gothic" w:cs="Arial"/>
          <w:sz w:val="22"/>
          <w:szCs w:val="22"/>
          <w:lang w:val="en-US"/>
        </w:rPr>
        <w:t>carers</w:t>
      </w:r>
      <w:proofErr w:type="gramEnd"/>
      <w:r w:rsidRPr="00C0508E">
        <w:rPr>
          <w:rFonts w:ascii="Century Gothic" w:hAnsi="Century Gothic" w:cs="Arial"/>
          <w:sz w:val="22"/>
          <w:szCs w:val="22"/>
          <w:lang w:val="en-US"/>
        </w:rPr>
        <w:t xml:space="preserve"> and managing risks to children</w:t>
      </w:r>
    </w:p>
    <w:p w14:paraId="3D2A8362" w14:textId="77777777" w:rsidR="00775A68" w:rsidRDefault="00775A68" w:rsidP="00775A6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H</w:t>
      </w:r>
      <w:r w:rsidRPr="00C0508E">
        <w:rPr>
          <w:rFonts w:ascii="Century Gothic" w:hAnsi="Century Gothic" w:cs="Arial"/>
          <w:sz w:val="22"/>
          <w:szCs w:val="22"/>
          <w:lang w:val="en-US"/>
        </w:rPr>
        <w:t>ow to support a person disclosing harm to a child</w:t>
      </w:r>
    </w:p>
    <w:p w14:paraId="3B2FF867" w14:textId="7189437F" w:rsidR="00DA3BB0" w:rsidRDefault="00775A68" w:rsidP="00775A6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H</w:t>
      </w:r>
      <w:r w:rsidRPr="00C0508E">
        <w:rPr>
          <w:rFonts w:ascii="Century Gothic" w:hAnsi="Century Gothic" w:cs="Arial"/>
          <w:sz w:val="22"/>
          <w:szCs w:val="22"/>
          <w:lang w:val="en-US"/>
        </w:rPr>
        <w:t xml:space="preserve">ow to create </w:t>
      </w:r>
      <w:r>
        <w:rPr>
          <w:rFonts w:ascii="Century Gothic" w:hAnsi="Century Gothic" w:cs="Arial"/>
          <w:sz w:val="22"/>
          <w:szCs w:val="22"/>
          <w:lang w:val="en-US"/>
        </w:rPr>
        <w:t>a culturally safe environment.</w:t>
      </w:r>
    </w:p>
    <w:p w14:paraId="1E91C284" w14:textId="77777777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DDA7686" w14:textId="78C404E0" w:rsidR="002F1251" w:rsidRDefault="002F125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Refer to the </w:t>
      </w:r>
      <w:r w:rsidRPr="002F1251">
        <w:rPr>
          <w:rFonts w:ascii="Century Gothic" w:hAnsi="Century Gothic" w:cs="Arial"/>
          <w:b/>
          <w:bCs/>
          <w:sz w:val="22"/>
          <w:szCs w:val="22"/>
          <w:lang w:val="en-US"/>
        </w:rPr>
        <w:t>Child Safety and Wellbeing Policy</w:t>
      </w:r>
      <w:r>
        <w:rPr>
          <w:rFonts w:ascii="Century Gothic" w:hAnsi="Century Gothic" w:cs="Arial"/>
          <w:sz w:val="22"/>
          <w:szCs w:val="22"/>
          <w:lang w:val="en-US"/>
        </w:rPr>
        <w:t xml:space="preserve"> for further details.</w:t>
      </w:r>
    </w:p>
    <w:p w14:paraId="4F6C8FE6" w14:textId="77777777" w:rsidR="00775A68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661ECFC" w14:textId="77777777" w:rsidR="00775A68" w:rsidRDefault="00775A68" w:rsidP="00775A6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775A68">
        <w:rPr>
          <w:rFonts w:ascii="Century Gothic" w:hAnsi="Century Gothic" w:cs="Arial"/>
          <w:b/>
          <w:bCs/>
          <w:sz w:val="22"/>
          <w:szCs w:val="22"/>
          <w:lang w:val="en-US"/>
        </w:rPr>
        <w:t>Funding</w:t>
      </w:r>
    </w:p>
    <w:p w14:paraId="2F8397AA" w14:textId="77777777" w:rsidR="00775A68" w:rsidRPr="00775A68" w:rsidRDefault="00775A68" w:rsidP="00775A6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73F755E6" w14:textId="6BAF4B83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Our annual budget allocates funding for professional development that is aligned with the opportunities anticipated and available</w:t>
      </w:r>
      <w:r w:rsidR="004F0FC5">
        <w:rPr>
          <w:rFonts w:ascii="Century Gothic" w:hAnsi="Century Gothic" w:cs="Arial"/>
          <w:sz w:val="22"/>
          <w:szCs w:val="22"/>
          <w:lang w:val="en-US"/>
        </w:rPr>
        <w:t xml:space="preserve"> for that coming year, </w:t>
      </w:r>
      <w:r>
        <w:rPr>
          <w:rFonts w:ascii="Century Gothic" w:hAnsi="Century Gothic" w:cs="Arial"/>
          <w:sz w:val="22"/>
          <w:szCs w:val="22"/>
          <w:lang w:val="en-US"/>
        </w:rPr>
        <w:t xml:space="preserve">along with </w:t>
      </w:r>
      <w:r w:rsidR="004F0FC5">
        <w:rPr>
          <w:rFonts w:ascii="Century Gothic" w:hAnsi="Century Gothic" w:cs="Arial"/>
          <w:sz w:val="22"/>
          <w:szCs w:val="22"/>
          <w:lang w:val="en-US"/>
        </w:rPr>
        <w:t xml:space="preserve">regular </w:t>
      </w:r>
      <w:r>
        <w:rPr>
          <w:rFonts w:ascii="Century Gothic" w:hAnsi="Century Gothic" w:cs="Arial"/>
          <w:sz w:val="22"/>
          <w:szCs w:val="22"/>
          <w:lang w:val="en-US"/>
        </w:rPr>
        <w:t>compliance trainin</w:t>
      </w:r>
      <w:r w:rsidR="004F0FC5">
        <w:rPr>
          <w:rFonts w:ascii="Century Gothic" w:hAnsi="Century Gothic" w:cs="Arial"/>
          <w:sz w:val="22"/>
          <w:szCs w:val="22"/>
          <w:lang w:val="en-US"/>
        </w:rPr>
        <w:t>g</w:t>
      </w:r>
      <w:r>
        <w:rPr>
          <w:rFonts w:ascii="Century Gothic" w:hAnsi="Century Gothic" w:cs="Arial"/>
          <w:sz w:val="22"/>
          <w:szCs w:val="22"/>
          <w:lang w:val="en-US"/>
        </w:rPr>
        <w:t xml:space="preserve"> (</w:t>
      </w:r>
      <w:proofErr w:type="gramStart"/>
      <w:r w:rsidR="00C538F2">
        <w:rPr>
          <w:rFonts w:ascii="Century Gothic" w:hAnsi="Century Gothic" w:cs="Arial"/>
          <w:sz w:val="22"/>
          <w:szCs w:val="22"/>
          <w:lang w:val="en-US"/>
        </w:rPr>
        <w:t>e.g.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updating first aid certificates</w:t>
      </w:r>
      <w:r w:rsidR="004F0FC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>
        <w:rPr>
          <w:rFonts w:ascii="Century Gothic" w:hAnsi="Century Gothic" w:cs="Arial"/>
          <w:sz w:val="22"/>
          <w:szCs w:val="22"/>
          <w:lang w:val="en-US"/>
        </w:rPr>
        <w:t xml:space="preserve">food handling certification etc.). </w:t>
      </w:r>
    </w:p>
    <w:p w14:paraId="11547A9C" w14:textId="77777777" w:rsidR="00EB2E76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5CD5DE3" w14:textId="57FA44F5" w:rsidR="00775A68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Funding for professional development can also be sourced outside our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2E55E629" w14:textId="77777777" w:rsidR="00F819A1" w:rsidRPr="00775A68" w:rsidRDefault="00F819A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3B02A3E" w14:textId="77777777" w:rsidR="00EB2E76" w:rsidRDefault="00775A68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775A68">
        <w:rPr>
          <w:rFonts w:ascii="Century Gothic" w:hAnsi="Century Gothic" w:cs="Arial"/>
          <w:sz w:val="22"/>
          <w:szCs w:val="22"/>
          <w:lang w:val="en-US"/>
        </w:rPr>
        <w:t xml:space="preserve">Staff and volunteers may apply for financial assistance for any additional training which the </w:t>
      </w:r>
    </w:p>
    <w:p w14:paraId="329774E1" w14:textId="264AC823" w:rsidR="00775A68" w:rsidRDefault="00EB2E76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proofErr w:type="gramStart"/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F819A1">
        <w:rPr>
          <w:rFonts w:ascii="Century Gothic" w:hAnsi="Century Gothic" w:cs="Arial"/>
          <w:sz w:val="22"/>
          <w:szCs w:val="22"/>
          <w:lang w:val="en-US"/>
        </w:rPr>
        <w:t>ommittee</w:t>
      </w:r>
      <w:proofErr w:type="gramEnd"/>
      <w:r w:rsidR="00F819A1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775A68" w:rsidRPr="00775A68">
        <w:rPr>
          <w:rFonts w:ascii="Century Gothic" w:hAnsi="Century Gothic" w:cs="Arial"/>
          <w:sz w:val="22"/>
          <w:szCs w:val="22"/>
          <w:lang w:val="en-US"/>
        </w:rPr>
        <w:t>agrees is directly related to their current, or prospective role and which can be appropriately funded.</w:t>
      </w:r>
    </w:p>
    <w:p w14:paraId="307E843F" w14:textId="77777777" w:rsidR="00F819A1" w:rsidRPr="00775A68" w:rsidRDefault="00F819A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588F833" w14:textId="361E9ED2" w:rsidR="00775A68" w:rsidRDefault="00F819A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Committee </w:t>
      </w:r>
      <w:r w:rsidR="00775A68" w:rsidRPr="00775A68">
        <w:rPr>
          <w:rFonts w:ascii="Century Gothic" w:hAnsi="Century Gothic" w:cs="Arial"/>
          <w:sz w:val="22"/>
          <w:szCs w:val="22"/>
          <w:lang w:val="en-US"/>
        </w:rPr>
        <w:t xml:space="preserve">members may apply for financial assistance to </w:t>
      </w:r>
      <w:r w:rsidR="00EB2E76">
        <w:rPr>
          <w:rFonts w:ascii="Century Gothic" w:hAnsi="Century Gothic" w:cs="Arial"/>
          <w:sz w:val="22"/>
          <w:szCs w:val="22"/>
          <w:lang w:val="en-US"/>
        </w:rPr>
        <w:t>participate in training opportunities</w:t>
      </w:r>
      <w:r w:rsidR="00775A68" w:rsidRPr="00775A68">
        <w:rPr>
          <w:rFonts w:ascii="Century Gothic" w:hAnsi="Century Gothic" w:cs="Arial"/>
          <w:sz w:val="22"/>
          <w:szCs w:val="22"/>
          <w:lang w:val="en-US"/>
        </w:rPr>
        <w:t xml:space="preserve"> which </w:t>
      </w:r>
      <w:r w:rsidR="004F0FC5">
        <w:rPr>
          <w:rFonts w:ascii="Century Gothic" w:hAnsi="Century Gothic" w:cs="Arial"/>
          <w:sz w:val="22"/>
          <w:szCs w:val="22"/>
          <w:lang w:val="en-US"/>
        </w:rPr>
        <w:t xml:space="preserve">contribute to the </w:t>
      </w:r>
      <w:r>
        <w:rPr>
          <w:rFonts w:ascii="Century Gothic" w:hAnsi="Century Gothic" w:cs="Arial"/>
          <w:sz w:val="22"/>
          <w:szCs w:val="22"/>
          <w:lang w:val="en-US"/>
        </w:rPr>
        <w:t xml:space="preserve">proper governance of our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235AFA9B" w14:textId="77777777" w:rsidR="004F0FC5" w:rsidRDefault="004F0FC5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E0F0D25" w14:textId="56863493" w:rsidR="006F3604" w:rsidRDefault="006F3604" w:rsidP="00775A6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Performance</w:t>
      </w:r>
    </w:p>
    <w:p w14:paraId="75CD9777" w14:textId="77777777" w:rsidR="006F3604" w:rsidRDefault="006F3604" w:rsidP="00775A6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7884E7B0" w14:textId="548C3415" w:rsidR="006F3604" w:rsidRDefault="006F3604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Regular performance reviews </w:t>
      </w:r>
      <w:r w:rsidR="00385B4B">
        <w:rPr>
          <w:rFonts w:ascii="Century Gothic" w:hAnsi="Century Gothic" w:cs="Arial"/>
          <w:sz w:val="22"/>
          <w:szCs w:val="22"/>
          <w:lang w:val="en-US"/>
        </w:rPr>
        <w:t>are</w:t>
      </w:r>
      <w:r w:rsidR="003852DD">
        <w:rPr>
          <w:rFonts w:ascii="Century Gothic" w:hAnsi="Century Gothic" w:cs="Arial"/>
          <w:sz w:val="22"/>
          <w:szCs w:val="22"/>
          <w:lang w:val="en-US"/>
        </w:rPr>
        <w:t xml:space="preserve"> conducted with staff to identify strengths and opportunities for learning and growth.</w:t>
      </w:r>
    </w:p>
    <w:p w14:paraId="1CD9C006" w14:textId="77777777" w:rsidR="00445331" w:rsidRDefault="0044533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E5EC9E0" w14:textId="098EADC3" w:rsidR="00445331" w:rsidRPr="006F3604" w:rsidRDefault="00445331" w:rsidP="00775A6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Any serious performance management issues </w:t>
      </w:r>
      <w:r w:rsidR="00385B4B">
        <w:rPr>
          <w:rFonts w:ascii="Century Gothic" w:hAnsi="Century Gothic" w:cs="Arial"/>
          <w:sz w:val="22"/>
          <w:szCs w:val="22"/>
          <w:lang w:val="en-US"/>
        </w:rPr>
        <w:t>are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escalated to the Committee</w:t>
      </w:r>
      <w:r w:rsidR="00231EA5">
        <w:rPr>
          <w:rFonts w:ascii="Century Gothic" w:hAnsi="Century Gothic" w:cs="Arial"/>
          <w:sz w:val="22"/>
          <w:szCs w:val="22"/>
          <w:lang w:val="en-US"/>
        </w:rPr>
        <w:t xml:space="preserve"> of Governance.</w:t>
      </w:r>
    </w:p>
    <w:sectPr w:rsidR="00445331" w:rsidRPr="006F3604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17BF3059" w:rsidR="00996B89" w:rsidRPr="00F819A1" w:rsidRDefault="00F819A1" w:rsidP="00F819A1">
    <w:pPr>
      <w:pStyle w:val="Header"/>
      <w:jc w:val="right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>LEARNING AND DEVELOPMENT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586C47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8529D"/>
    <w:multiLevelType w:val="hybridMultilevel"/>
    <w:tmpl w:val="10528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3D79"/>
    <w:multiLevelType w:val="hybridMultilevel"/>
    <w:tmpl w:val="76E48EB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4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C216032"/>
    <w:multiLevelType w:val="hybridMultilevel"/>
    <w:tmpl w:val="08F4E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8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3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64460"/>
    <w:multiLevelType w:val="hybridMultilevel"/>
    <w:tmpl w:val="94D4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2"/>
  </w:num>
  <w:num w:numId="3" w16cid:durableId="1276013187">
    <w:abstractNumId w:val="17"/>
  </w:num>
  <w:num w:numId="4" w16cid:durableId="1810976334">
    <w:abstractNumId w:val="23"/>
  </w:num>
  <w:num w:numId="5" w16cid:durableId="1232690283">
    <w:abstractNumId w:val="23"/>
  </w:num>
  <w:num w:numId="6" w16cid:durableId="737285284">
    <w:abstractNumId w:val="23"/>
  </w:num>
  <w:num w:numId="7" w16cid:durableId="656425771">
    <w:abstractNumId w:val="19"/>
  </w:num>
  <w:num w:numId="8" w16cid:durableId="35811863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5"/>
  </w:num>
  <w:num w:numId="14" w16cid:durableId="1448769055">
    <w:abstractNumId w:val="14"/>
  </w:num>
  <w:num w:numId="15" w16cid:durableId="1692687348">
    <w:abstractNumId w:val="15"/>
  </w:num>
  <w:num w:numId="16" w16cid:durableId="454910472">
    <w:abstractNumId w:val="12"/>
  </w:num>
  <w:num w:numId="17" w16cid:durableId="601188466">
    <w:abstractNumId w:val="11"/>
  </w:num>
  <w:num w:numId="18" w16cid:durableId="1671561848">
    <w:abstractNumId w:val="2"/>
  </w:num>
  <w:num w:numId="19" w16cid:durableId="1878927983">
    <w:abstractNumId w:val="24"/>
  </w:num>
  <w:num w:numId="20" w16cid:durableId="1079667643">
    <w:abstractNumId w:val="26"/>
  </w:num>
  <w:num w:numId="21" w16cid:durableId="709114262">
    <w:abstractNumId w:val="7"/>
  </w:num>
  <w:num w:numId="22" w16cid:durableId="2011592347">
    <w:abstractNumId w:val="8"/>
  </w:num>
  <w:num w:numId="23" w16cid:durableId="819658797">
    <w:abstractNumId w:val="4"/>
  </w:num>
  <w:num w:numId="24" w16cid:durableId="596444433">
    <w:abstractNumId w:val="21"/>
  </w:num>
  <w:num w:numId="25" w16cid:durableId="1470588512">
    <w:abstractNumId w:val="6"/>
  </w:num>
  <w:num w:numId="26" w16cid:durableId="1956789568">
    <w:abstractNumId w:val="20"/>
  </w:num>
  <w:num w:numId="27" w16cid:durableId="1955674984">
    <w:abstractNumId w:val="3"/>
  </w:num>
  <w:num w:numId="28" w16cid:durableId="1301499629">
    <w:abstractNumId w:val="29"/>
  </w:num>
  <w:num w:numId="29" w16cid:durableId="1530415495">
    <w:abstractNumId w:val="30"/>
  </w:num>
  <w:num w:numId="30" w16cid:durableId="789544228">
    <w:abstractNumId w:val="27"/>
  </w:num>
  <w:num w:numId="31" w16cid:durableId="1767144795">
    <w:abstractNumId w:val="28"/>
  </w:num>
  <w:num w:numId="32" w16cid:durableId="2100522826">
    <w:abstractNumId w:val="13"/>
  </w:num>
  <w:num w:numId="33" w16cid:durableId="364059496">
    <w:abstractNumId w:val="18"/>
  </w:num>
  <w:num w:numId="34" w16cid:durableId="821045617">
    <w:abstractNumId w:val="9"/>
  </w:num>
  <w:num w:numId="35" w16cid:durableId="2065329483">
    <w:abstractNumId w:val="25"/>
  </w:num>
  <w:num w:numId="36" w16cid:durableId="1795976482">
    <w:abstractNumId w:val="1"/>
  </w:num>
  <w:num w:numId="37" w16cid:durableId="472524336">
    <w:abstractNumId w:val="10"/>
  </w:num>
  <w:num w:numId="38" w16cid:durableId="2081170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2480D"/>
    <w:rsid w:val="00124EC9"/>
    <w:rsid w:val="001362F7"/>
    <w:rsid w:val="001427CF"/>
    <w:rsid w:val="001A5C78"/>
    <w:rsid w:val="001B0263"/>
    <w:rsid w:val="001B1365"/>
    <w:rsid w:val="001E3242"/>
    <w:rsid w:val="00202962"/>
    <w:rsid w:val="00231EA5"/>
    <w:rsid w:val="00232904"/>
    <w:rsid w:val="00265E0E"/>
    <w:rsid w:val="00274509"/>
    <w:rsid w:val="002A797F"/>
    <w:rsid w:val="002B215A"/>
    <w:rsid w:val="002D3F83"/>
    <w:rsid w:val="002D772B"/>
    <w:rsid w:val="002E4B06"/>
    <w:rsid w:val="002F1251"/>
    <w:rsid w:val="00370A30"/>
    <w:rsid w:val="003852DD"/>
    <w:rsid w:val="00385B4B"/>
    <w:rsid w:val="003E4E93"/>
    <w:rsid w:val="003E53FB"/>
    <w:rsid w:val="0041706C"/>
    <w:rsid w:val="00445331"/>
    <w:rsid w:val="004864ED"/>
    <w:rsid w:val="00497763"/>
    <w:rsid w:val="004A74CC"/>
    <w:rsid w:val="004C5E0B"/>
    <w:rsid w:val="004D2269"/>
    <w:rsid w:val="004F0FC5"/>
    <w:rsid w:val="004F7BF9"/>
    <w:rsid w:val="00517FA8"/>
    <w:rsid w:val="00533958"/>
    <w:rsid w:val="00545BA6"/>
    <w:rsid w:val="00572CA2"/>
    <w:rsid w:val="00573E52"/>
    <w:rsid w:val="00577B14"/>
    <w:rsid w:val="00583D56"/>
    <w:rsid w:val="00586C47"/>
    <w:rsid w:val="005948F0"/>
    <w:rsid w:val="005974B5"/>
    <w:rsid w:val="005977E1"/>
    <w:rsid w:val="005B26E1"/>
    <w:rsid w:val="005D1B75"/>
    <w:rsid w:val="005E1DC1"/>
    <w:rsid w:val="006060F0"/>
    <w:rsid w:val="00611E94"/>
    <w:rsid w:val="00645D1F"/>
    <w:rsid w:val="006505CC"/>
    <w:rsid w:val="006513F0"/>
    <w:rsid w:val="00652933"/>
    <w:rsid w:val="00657D41"/>
    <w:rsid w:val="00671212"/>
    <w:rsid w:val="006B4B37"/>
    <w:rsid w:val="006D595C"/>
    <w:rsid w:val="006F20FA"/>
    <w:rsid w:val="006F3604"/>
    <w:rsid w:val="006F3EBF"/>
    <w:rsid w:val="00701011"/>
    <w:rsid w:val="00706418"/>
    <w:rsid w:val="00727B8F"/>
    <w:rsid w:val="00735824"/>
    <w:rsid w:val="00775A68"/>
    <w:rsid w:val="00775CAF"/>
    <w:rsid w:val="007921DD"/>
    <w:rsid w:val="007B520B"/>
    <w:rsid w:val="0080296A"/>
    <w:rsid w:val="00834DBC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71156"/>
    <w:rsid w:val="00AA64E7"/>
    <w:rsid w:val="00AB4FA0"/>
    <w:rsid w:val="00B27337"/>
    <w:rsid w:val="00B336A1"/>
    <w:rsid w:val="00B36ACD"/>
    <w:rsid w:val="00B93212"/>
    <w:rsid w:val="00BC7EBE"/>
    <w:rsid w:val="00C32B59"/>
    <w:rsid w:val="00C538F2"/>
    <w:rsid w:val="00CD0899"/>
    <w:rsid w:val="00D116AF"/>
    <w:rsid w:val="00D52F2C"/>
    <w:rsid w:val="00D72D33"/>
    <w:rsid w:val="00DA3BB0"/>
    <w:rsid w:val="00DD0FAC"/>
    <w:rsid w:val="00DE7F1D"/>
    <w:rsid w:val="00E215A3"/>
    <w:rsid w:val="00E35F38"/>
    <w:rsid w:val="00E67488"/>
    <w:rsid w:val="00EB1732"/>
    <w:rsid w:val="00EB2E76"/>
    <w:rsid w:val="00F02097"/>
    <w:rsid w:val="00F339EB"/>
    <w:rsid w:val="00F35A85"/>
    <w:rsid w:val="00F36882"/>
    <w:rsid w:val="00F644D5"/>
    <w:rsid w:val="00F74301"/>
    <w:rsid w:val="00F819A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585B8-90E2-45C9-927D-DD41F0AE6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3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16</cp:revision>
  <cp:lastPrinted>2011-12-12T00:10:00Z</cp:lastPrinted>
  <dcterms:created xsi:type="dcterms:W3CDTF">2023-06-05T04:37:00Z</dcterms:created>
  <dcterms:modified xsi:type="dcterms:W3CDTF">2023-06-19T05:49:00Z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