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640A8019" w:rsidR="00F644D5" w:rsidRPr="00BC7EBE" w:rsidRDefault="00FE2AB7" w:rsidP="4E1F4C0C">
      <w:pPr>
        <w:rPr>
          <w:rFonts w:ascii="Century Gothic" w:hAnsi="Century Gothic"/>
          <w:b/>
          <w:bCs/>
          <w:sz w:val="36"/>
          <w:szCs w:val="36"/>
          <w:lang w:val="en-AU"/>
        </w:rPr>
      </w:pPr>
      <w:r>
        <w:rPr>
          <w:rFonts w:ascii="Century Gothic" w:hAnsi="Century Gothic"/>
          <w:b/>
          <w:bCs/>
          <w:sz w:val="36"/>
          <w:szCs w:val="36"/>
          <w:lang w:val="en-AU"/>
        </w:rPr>
        <w:t>Reconciliation</w:t>
      </w:r>
      <w:r w:rsidR="504B6AD0" w:rsidRPr="18D05E2F">
        <w:rPr>
          <w:rFonts w:ascii="Century Gothic" w:hAnsi="Century Gothic"/>
          <w:b/>
          <w:bCs/>
          <w:sz w:val="36"/>
          <w:szCs w:val="36"/>
          <w:lang w:val="en-AU"/>
        </w:rPr>
        <w:t xml:space="preserve"> </w:t>
      </w:r>
      <w:r w:rsidR="00AD4EE3" w:rsidRPr="18D05E2F">
        <w:rPr>
          <w:rFonts w:ascii="Century Gothic" w:hAnsi="Century Gothic"/>
          <w:b/>
          <w:bCs/>
          <w:sz w:val="36"/>
          <w:szCs w:val="36"/>
          <w:lang w:val="en-AU"/>
        </w:rPr>
        <w:t>Policy</w:t>
      </w:r>
      <w:r w:rsidR="39FD38AF" w:rsidRPr="18D05E2F">
        <w:rPr>
          <w:rFonts w:ascii="Century Gothic" w:hAnsi="Century Gothic"/>
          <w:b/>
          <w:bCs/>
          <w:sz w:val="36"/>
          <w:szCs w:val="36"/>
          <w:lang w:val="en-AU"/>
        </w:rPr>
        <w:t xml:space="preserve"> 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18D05E2F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337E2EAC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 w:rsidRPr="18D05E2F">
              <w:rPr>
                <w:rFonts w:ascii="Century Gothic" w:hAnsi="Century Gothic"/>
                <w:sz w:val="22"/>
                <w:szCs w:val="22"/>
              </w:rPr>
              <w:t>ACC</w:t>
            </w:r>
            <w:r w:rsidR="00E038F8">
              <w:rPr>
                <w:rFonts w:ascii="Century Gothic" w:hAnsi="Century Gothic"/>
                <w:sz w:val="22"/>
                <w:szCs w:val="22"/>
              </w:rPr>
              <w:t>1</w:t>
            </w:r>
            <w:r w:rsidR="003117DE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</w:tr>
      <w:tr w:rsidR="00DA3BB0" w14:paraId="2996F9BF" w14:textId="77777777" w:rsidTr="18D05E2F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087036EB" w:rsidR="00DA3BB0" w:rsidRDefault="00E038F8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0.2</w:t>
            </w:r>
            <w:r w:rsidR="003117DE"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18D05E2F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2B9504BB" w:rsidR="00DA3BB0" w:rsidRDefault="003117DE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and volunteers</w:t>
            </w:r>
          </w:p>
        </w:tc>
      </w:tr>
      <w:tr w:rsidR="00DA3BB0" w14:paraId="51F367B3" w14:textId="77777777" w:rsidTr="18D05E2F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18D05E2F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4DC8B172" w14:textId="17B17DB7" w:rsidR="00345326" w:rsidRDefault="00345326" w:rsidP="00345326">
      <w:pPr>
        <w:pStyle w:val="PlainText"/>
        <w:spacing w:line="256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The purpose of this policy is to </w:t>
      </w:r>
      <w:r w:rsidR="00E038F8">
        <w:rPr>
          <w:rFonts w:ascii="Century Gothic" w:hAnsi="Century Gothic" w:cs="Arial"/>
          <w:sz w:val="22"/>
          <w:szCs w:val="22"/>
          <w:lang w:val="en-US"/>
        </w:rPr>
        <w:t xml:space="preserve">make our </w:t>
      </w:r>
      <w:proofErr w:type="spellStart"/>
      <w:r w:rsidR="00E038F8">
        <w:rPr>
          <w:rFonts w:ascii="Century Gothic" w:hAnsi="Century Gothic" w:cs="Arial"/>
          <w:sz w:val="22"/>
          <w:szCs w:val="22"/>
          <w:lang w:val="en-US"/>
        </w:rPr>
        <w:t>centre</w:t>
      </w:r>
      <w:proofErr w:type="spellEnd"/>
      <w:r w:rsidR="00E038F8">
        <w:rPr>
          <w:rFonts w:ascii="Century Gothic" w:hAnsi="Century Gothic" w:cs="Arial"/>
          <w:sz w:val="22"/>
          <w:szCs w:val="22"/>
          <w:lang w:val="en-US"/>
        </w:rPr>
        <w:t xml:space="preserve"> a safe and welcoming place for First Nations peoples.</w:t>
      </w:r>
    </w:p>
    <w:p w14:paraId="2FBCA8CA" w14:textId="77777777" w:rsidR="00DA3BB0" w:rsidRPr="00BC7EBE" w:rsidRDefault="00DA3BB0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3EF421CB" w14:textId="44F9660C" w:rsidR="00E038F8" w:rsidRDefault="00E038F8" w:rsidP="00E038F8">
      <w:pPr>
        <w:pStyle w:val="PlainText"/>
        <w:spacing w:line="256" w:lineRule="auto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We understand and acknowledge that we inhabit unceded lands that were managed sustainably for 60,000+ years by our First Nations peoples, the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Wurundjeri</w:t>
      </w:r>
      <w:proofErr w:type="spellEnd"/>
      <w:r>
        <w:rPr>
          <w:rFonts w:ascii="Century Gothic" w:hAnsi="Century Gothic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Woi</w:t>
      </w:r>
      <w:proofErr w:type="spellEnd"/>
      <w:r>
        <w:rPr>
          <w:rFonts w:ascii="Century Gothic" w:hAnsi="Century Gothic" w:cs="Arial"/>
          <w:sz w:val="22"/>
          <w:szCs w:val="22"/>
          <w:lang w:val="en-US"/>
        </w:rPr>
        <w:t>-Wurrung of the Kulin Nations, before European occupation.</w:t>
      </w:r>
    </w:p>
    <w:p w14:paraId="28330A80" w14:textId="49269B21" w:rsidR="00897B44" w:rsidRDefault="00897B44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12F6EA1" w14:textId="227BE0E5" w:rsidR="00E038F8" w:rsidRDefault="00E038F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We are committed to making Alphington Community Centre a safe and welcoming place for Aboriginal and Torres Strait Islander people, by:</w:t>
      </w:r>
    </w:p>
    <w:p w14:paraId="6000E8E8" w14:textId="77777777" w:rsidR="00E038F8" w:rsidRDefault="00E038F8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38A7CDAE" w14:textId="34B7E10F" w:rsidR="00F44C35" w:rsidRDefault="00F44C35" w:rsidP="00F44C35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Being an ally to First Nations people</w:t>
      </w:r>
      <w:r w:rsidR="00711D17">
        <w:rPr>
          <w:rFonts w:ascii="Century Gothic" w:hAnsi="Century Gothic" w:cs="Arial"/>
          <w:sz w:val="22"/>
          <w:szCs w:val="22"/>
          <w:lang w:val="en-US"/>
        </w:rPr>
        <w:t>s</w:t>
      </w:r>
      <w:r>
        <w:rPr>
          <w:rFonts w:ascii="Century Gothic" w:hAnsi="Century Gothic" w:cs="Arial"/>
          <w:sz w:val="22"/>
          <w:szCs w:val="22"/>
          <w:lang w:val="en-US"/>
        </w:rPr>
        <w:t xml:space="preserve"> in our community</w:t>
      </w:r>
    </w:p>
    <w:p w14:paraId="31FAF77C" w14:textId="4032593C" w:rsidR="00E038F8" w:rsidRPr="00F44C35" w:rsidRDefault="00E038F8" w:rsidP="00F44C35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 w:rsidRPr="00F44C35">
        <w:rPr>
          <w:rFonts w:ascii="Century Gothic" w:hAnsi="Century Gothic" w:cs="Arial"/>
          <w:sz w:val="22"/>
          <w:szCs w:val="22"/>
          <w:lang w:val="en-US"/>
        </w:rPr>
        <w:t xml:space="preserve">Including an Acknowledgement of Country in all our promotional material, </w:t>
      </w:r>
      <w:proofErr w:type="gramStart"/>
      <w:r w:rsidRPr="00F44C35">
        <w:rPr>
          <w:rFonts w:ascii="Century Gothic" w:hAnsi="Century Gothic" w:cs="Arial"/>
          <w:sz w:val="22"/>
          <w:szCs w:val="22"/>
          <w:lang w:val="en-US"/>
        </w:rPr>
        <w:t>signage</w:t>
      </w:r>
      <w:proofErr w:type="gramEnd"/>
      <w:r w:rsidRPr="00F44C35">
        <w:rPr>
          <w:rFonts w:ascii="Century Gothic" w:hAnsi="Century Gothic" w:cs="Arial"/>
          <w:sz w:val="22"/>
          <w:szCs w:val="22"/>
          <w:lang w:val="en-US"/>
        </w:rPr>
        <w:t xml:space="preserve"> and other marketing collateral</w:t>
      </w:r>
    </w:p>
    <w:p w14:paraId="0A37ACE4" w14:textId="5682CDDF" w:rsidR="00E038F8" w:rsidRDefault="00E038F8" w:rsidP="00E038F8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Creating opportunities for the community to learn about Aboriginal and Torres Strait Islander culture, history and matters of importance, through formal programs and informal means (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e.g.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by including material in our newsletters, or our course guide)</w:t>
      </w:r>
    </w:p>
    <w:p w14:paraId="4C310E12" w14:textId="61F47C1F" w:rsidR="00E038F8" w:rsidRDefault="00E038F8" w:rsidP="00E038F8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Including Country in our address</w:t>
      </w:r>
    </w:p>
    <w:p w14:paraId="7620521B" w14:textId="47C74354" w:rsidR="00E038F8" w:rsidRDefault="00E038F8" w:rsidP="00E038F8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Acknowledging Traditional Owners at meetings and events</w:t>
      </w:r>
    </w:p>
    <w:p w14:paraId="2D812FA4" w14:textId="6F8B33E2" w:rsidR="00E038F8" w:rsidRDefault="00E038F8" w:rsidP="00E038F8">
      <w:pPr>
        <w:pStyle w:val="PlainText"/>
        <w:numPr>
          <w:ilvl w:val="0"/>
          <w:numId w:val="36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Using our social media to build community knowledge and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understanding, and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contribute to reconciliation.</w:t>
      </w:r>
    </w:p>
    <w:p w14:paraId="3B2FF867" w14:textId="77777777" w:rsidR="00DA3BB0" w:rsidRPr="00DA3BB0" w:rsidRDefault="00DA3BB0" w:rsidP="00E038F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DA3BB0" w:rsidRPr="00DA3BB0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2F" w14:textId="77777777" w:rsidR="00996B89" w:rsidRPr="00533958" w:rsidRDefault="00BC7EBE" w:rsidP="003E53F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050"/>
      </w:tabs>
      <w:jc w:val="right"/>
      <w:rPr>
        <w:rFonts w:ascii="Century Gothic" w:hAnsi="Century Gothic"/>
      </w:rPr>
    </w:pPr>
    <w:r w:rsidRPr="00533958">
      <w:rPr>
        <w:rFonts w:ascii="Century Gothic" w:hAnsi="Century Gothic"/>
        <w:sz w:val="22"/>
        <w:szCs w:val="22"/>
      </w:rPr>
      <w:t>POLICY NAME</w:t>
    </w:r>
  </w:p>
  <w:p w14:paraId="7E3E2D30" w14:textId="77777777" w:rsidR="00996B89" w:rsidRDefault="00996B89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AD4EE3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493BE"/>
    <w:multiLevelType w:val="hybridMultilevel"/>
    <w:tmpl w:val="B8ECD632"/>
    <w:lvl w:ilvl="0" w:tplc="E3EC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65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9664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46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4B1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18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49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8E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20F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7B02"/>
    <w:multiLevelType w:val="hybridMultilevel"/>
    <w:tmpl w:val="F0FEFF5E"/>
    <w:lvl w:ilvl="0" w:tplc="357E81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4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7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2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1"/>
  </w:num>
  <w:num w:numId="3" w16cid:durableId="1276013187">
    <w:abstractNumId w:val="16"/>
  </w:num>
  <w:num w:numId="4" w16cid:durableId="1810976334">
    <w:abstractNumId w:val="22"/>
  </w:num>
  <w:num w:numId="5" w16cid:durableId="1232690283">
    <w:abstractNumId w:val="22"/>
  </w:num>
  <w:num w:numId="6" w16cid:durableId="737285284">
    <w:abstractNumId w:val="22"/>
  </w:num>
  <w:num w:numId="7" w16cid:durableId="656425771">
    <w:abstractNumId w:val="18"/>
  </w:num>
  <w:num w:numId="8" w16cid:durableId="35811863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5"/>
  </w:num>
  <w:num w:numId="14" w16cid:durableId="1448769055">
    <w:abstractNumId w:val="14"/>
  </w:num>
  <w:num w:numId="15" w16cid:durableId="1692687348">
    <w:abstractNumId w:val="15"/>
  </w:num>
  <w:num w:numId="16" w16cid:durableId="454910472">
    <w:abstractNumId w:val="12"/>
  </w:num>
  <w:num w:numId="17" w16cid:durableId="601188466">
    <w:abstractNumId w:val="11"/>
  </w:num>
  <w:num w:numId="18" w16cid:durableId="1671561848">
    <w:abstractNumId w:val="1"/>
  </w:num>
  <w:num w:numId="19" w16cid:durableId="1878927983">
    <w:abstractNumId w:val="23"/>
  </w:num>
  <w:num w:numId="20" w16cid:durableId="1079667643">
    <w:abstractNumId w:val="24"/>
  </w:num>
  <w:num w:numId="21" w16cid:durableId="709114262">
    <w:abstractNumId w:val="7"/>
  </w:num>
  <w:num w:numId="22" w16cid:durableId="2011592347">
    <w:abstractNumId w:val="8"/>
  </w:num>
  <w:num w:numId="23" w16cid:durableId="819658797">
    <w:abstractNumId w:val="4"/>
  </w:num>
  <w:num w:numId="24" w16cid:durableId="596444433">
    <w:abstractNumId w:val="20"/>
  </w:num>
  <w:num w:numId="25" w16cid:durableId="1470588512">
    <w:abstractNumId w:val="6"/>
  </w:num>
  <w:num w:numId="26" w16cid:durableId="1956789568">
    <w:abstractNumId w:val="19"/>
  </w:num>
  <w:num w:numId="27" w16cid:durableId="1955674984">
    <w:abstractNumId w:val="2"/>
  </w:num>
  <w:num w:numId="28" w16cid:durableId="1301499629">
    <w:abstractNumId w:val="27"/>
  </w:num>
  <w:num w:numId="29" w16cid:durableId="1530415495">
    <w:abstractNumId w:val="28"/>
  </w:num>
  <w:num w:numId="30" w16cid:durableId="789544228">
    <w:abstractNumId w:val="25"/>
  </w:num>
  <w:num w:numId="31" w16cid:durableId="1767144795">
    <w:abstractNumId w:val="26"/>
  </w:num>
  <w:num w:numId="32" w16cid:durableId="2100522826">
    <w:abstractNumId w:val="13"/>
  </w:num>
  <w:num w:numId="33" w16cid:durableId="364059496">
    <w:abstractNumId w:val="17"/>
  </w:num>
  <w:num w:numId="34" w16cid:durableId="821045617">
    <w:abstractNumId w:val="10"/>
  </w:num>
  <w:num w:numId="35" w16cid:durableId="920523557">
    <w:abstractNumId w:val="3"/>
  </w:num>
  <w:num w:numId="36" w16cid:durableId="801847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8065D"/>
    <w:rsid w:val="001A5C78"/>
    <w:rsid w:val="001B0263"/>
    <w:rsid w:val="001B1365"/>
    <w:rsid w:val="001E3242"/>
    <w:rsid w:val="00202962"/>
    <w:rsid w:val="00232904"/>
    <w:rsid w:val="002472E0"/>
    <w:rsid w:val="00265E0E"/>
    <w:rsid w:val="00274509"/>
    <w:rsid w:val="00294D40"/>
    <w:rsid w:val="002A797F"/>
    <w:rsid w:val="002B215A"/>
    <w:rsid w:val="002D772B"/>
    <w:rsid w:val="002E4B06"/>
    <w:rsid w:val="003031A1"/>
    <w:rsid w:val="003117DE"/>
    <w:rsid w:val="00345326"/>
    <w:rsid w:val="0035174A"/>
    <w:rsid w:val="00370A30"/>
    <w:rsid w:val="003A0827"/>
    <w:rsid w:val="003E4E93"/>
    <w:rsid w:val="003E53FB"/>
    <w:rsid w:val="0041706C"/>
    <w:rsid w:val="00497763"/>
    <w:rsid w:val="004A74CC"/>
    <w:rsid w:val="004C5E0B"/>
    <w:rsid w:val="004D2269"/>
    <w:rsid w:val="004F7BF9"/>
    <w:rsid w:val="005121B1"/>
    <w:rsid w:val="00517FA8"/>
    <w:rsid w:val="00525C27"/>
    <w:rsid w:val="00533958"/>
    <w:rsid w:val="00545BA6"/>
    <w:rsid w:val="00572CA2"/>
    <w:rsid w:val="00577B14"/>
    <w:rsid w:val="00583D56"/>
    <w:rsid w:val="005948F0"/>
    <w:rsid w:val="005974B5"/>
    <w:rsid w:val="005977E1"/>
    <w:rsid w:val="005B26E1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B4B37"/>
    <w:rsid w:val="006D595C"/>
    <w:rsid w:val="006F20FA"/>
    <w:rsid w:val="006F3EBF"/>
    <w:rsid w:val="00706418"/>
    <w:rsid w:val="00710245"/>
    <w:rsid w:val="00711D17"/>
    <w:rsid w:val="00727B8F"/>
    <w:rsid w:val="00735824"/>
    <w:rsid w:val="00750807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9C1920"/>
    <w:rsid w:val="00A71156"/>
    <w:rsid w:val="00AA189B"/>
    <w:rsid w:val="00AA64E7"/>
    <w:rsid w:val="00AB4FA0"/>
    <w:rsid w:val="00AD0555"/>
    <w:rsid w:val="00AD4EE3"/>
    <w:rsid w:val="00B20154"/>
    <w:rsid w:val="00B27337"/>
    <w:rsid w:val="00B336A1"/>
    <w:rsid w:val="00B36ACD"/>
    <w:rsid w:val="00B93212"/>
    <w:rsid w:val="00BC7EBE"/>
    <w:rsid w:val="00C32B59"/>
    <w:rsid w:val="00CC6D87"/>
    <w:rsid w:val="00CD0899"/>
    <w:rsid w:val="00D41A6A"/>
    <w:rsid w:val="00D667AE"/>
    <w:rsid w:val="00D72D33"/>
    <w:rsid w:val="00D836D7"/>
    <w:rsid w:val="00D919D8"/>
    <w:rsid w:val="00DA3BB0"/>
    <w:rsid w:val="00DD0FAC"/>
    <w:rsid w:val="00DE7F1D"/>
    <w:rsid w:val="00E038F8"/>
    <w:rsid w:val="00E215A3"/>
    <w:rsid w:val="00E35F38"/>
    <w:rsid w:val="00E671D9"/>
    <w:rsid w:val="00E67488"/>
    <w:rsid w:val="00E9577B"/>
    <w:rsid w:val="00EB1732"/>
    <w:rsid w:val="00F02097"/>
    <w:rsid w:val="00F339EB"/>
    <w:rsid w:val="00F35A85"/>
    <w:rsid w:val="00F36882"/>
    <w:rsid w:val="00F44C35"/>
    <w:rsid w:val="00F644D5"/>
    <w:rsid w:val="00F74301"/>
    <w:rsid w:val="00FA6E72"/>
    <w:rsid w:val="00FE2AB7"/>
    <w:rsid w:val="18D05E2F"/>
    <w:rsid w:val="29B2911E"/>
    <w:rsid w:val="30AC2664"/>
    <w:rsid w:val="39FD38AF"/>
    <w:rsid w:val="438AF298"/>
    <w:rsid w:val="4E1F4C0C"/>
    <w:rsid w:val="504B6AD0"/>
    <w:rsid w:val="652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rsid w:val="00345326"/>
    <w:rPr>
      <w:rFonts w:ascii="Courier New" w:hAnsi="Courier New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2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FC67F-CBCF-464C-84D3-1C9EC0BF9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9</cp:revision>
  <cp:lastPrinted>2011-12-12T00:10:00Z</cp:lastPrinted>
  <dcterms:created xsi:type="dcterms:W3CDTF">2023-06-19T04:51:00Z</dcterms:created>
  <dcterms:modified xsi:type="dcterms:W3CDTF">2023-06-27T05:11:00Z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